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FD52" w14:textId="77777777" w:rsidR="00531EB9" w:rsidRPr="00E32D8F" w:rsidRDefault="00680F54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  <w:r w:rsidRPr="00E32D8F">
        <w:rPr>
          <w:b/>
          <w:noProof/>
          <w:color w:val="1F497D"/>
          <w:sz w:val="28"/>
          <w:lang w:val="cs-CZ"/>
        </w:rPr>
        <w:drawing>
          <wp:inline distT="0" distB="0" distL="0" distR="0" wp14:anchorId="6B8B461B" wp14:editId="590D7BCF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35B1" w14:textId="77777777" w:rsidR="00531EB9" w:rsidRPr="00E32D8F" w:rsidRDefault="00531EB9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</w:p>
    <w:p w14:paraId="597E875D" w14:textId="77777777" w:rsidR="00531EB9" w:rsidRPr="00E32D8F" w:rsidRDefault="00680F54" w:rsidP="00837105">
      <w:pPr>
        <w:jc w:val="center"/>
        <w:rPr>
          <w:b/>
          <w:color w:val="1F497D"/>
          <w:sz w:val="40"/>
          <w:szCs w:val="40"/>
        </w:rPr>
      </w:pPr>
      <w:r w:rsidRPr="00E32D8F">
        <w:rPr>
          <w:noProof/>
          <w:color w:val="1F497D"/>
        </w:rPr>
        <w:drawing>
          <wp:anchor distT="0" distB="0" distL="114300" distR="114300" simplePos="0" relativeHeight="251657728" behindDoc="1" locked="0" layoutInCell="1" allowOverlap="1" wp14:anchorId="755393BB" wp14:editId="22575D7A">
            <wp:simplePos x="0" y="0"/>
            <wp:positionH relativeFrom="column">
              <wp:posOffset>579755</wp:posOffset>
            </wp:positionH>
            <wp:positionV relativeFrom="paragraph">
              <wp:posOffset>32385</wp:posOffset>
            </wp:positionV>
            <wp:extent cx="4533900" cy="210248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BE03C" w14:textId="77777777" w:rsidR="00531EB9" w:rsidRPr="00E32D8F" w:rsidRDefault="00531EB9" w:rsidP="00837105">
      <w:pPr>
        <w:tabs>
          <w:tab w:val="left" w:pos="1455"/>
        </w:tabs>
        <w:jc w:val="center"/>
        <w:rPr>
          <w:b/>
          <w:color w:val="1F497D"/>
          <w:sz w:val="36"/>
          <w:szCs w:val="36"/>
        </w:rPr>
      </w:pPr>
      <w:r w:rsidRPr="00E32D8F">
        <w:rPr>
          <w:b/>
          <w:color w:val="1F497D"/>
          <w:sz w:val="36"/>
          <w:szCs w:val="36"/>
        </w:rPr>
        <w:t>Tisková zpráva</w:t>
      </w:r>
    </w:p>
    <w:p w14:paraId="56765BC0" w14:textId="77777777" w:rsidR="00531EB9" w:rsidRPr="00E32D8F" w:rsidRDefault="00531EB9" w:rsidP="00837105">
      <w:pPr>
        <w:tabs>
          <w:tab w:val="left" w:pos="1455"/>
        </w:tabs>
        <w:jc w:val="center"/>
        <w:rPr>
          <w:color w:val="1F497D"/>
        </w:rPr>
      </w:pPr>
    </w:p>
    <w:p w14:paraId="15AABB8E" w14:textId="77777777" w:rsidR="00531EB9" w:rsidRPr="00E32D8F" w:rsidRDefault="00E55E9D" w:rsidP="002A6B80">
      <w:pPr>
        <w:tabs>
          <w:tab w:val="left" w:pos="960"/>
          <w:tab w:val="left" w:pos="1455"/>
          <w:tab w:val="center" w:pos="4536"/>
        </w:tabs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11</w:t>
      </w:r>
      <w:r w:rsidR="008149C6">
        <w:rPr>
          <w:b/>
          <w:color w:val="1F497D"/>
          <w:sz w:val="32"/>
          <w:szCs w:val="32"/>
        </w:rPr>
        <w:t xml:space="preserve">. </w:t>
      </w:r>
      <w:r>
        <w:rPr>
          <w:b/>
          <w:color w:val="1F497D"/>
          <w:sz w:val="32"/>
          <w:szCs w:val="32"/>
        </w:rPr>
        <w:t>10</w:t>
      </w:r>
      <w:r w:rsidR="008149C6">
        <w:rPr>
          <w:b/>
          <w:color w:val="1F497D"/>
          <w:sz w:val="32"/>
          <w:szCs w:val="32"/>
        </w:rPr>
        <w:t>.</w:t>
      </w:r>
      <w:r w:rsidR="00531EB9" w:rsidRPr="00E32D8F">
        <w:rPr>
          <w:b/>
          <w:color w:val="1F497D"/>
          <w:sz w:val="32"/>
          <w:szCs w:val="32"/>
        </w:rPr>
        <w:t xml:space="preserve"> 20</w:t>
      </w:r>
      <w:r w:rsidR="00942D89">
        <w:rPr>
          <w:b/>
          <w:color w:val="1F497D"/>
          <w:sz w:val="32"/>
          <w:szCs w:val="32"/>
        </w:rPr>
        <w:t>24</w:t>
      </w:r>
    </w:p>
    <w:p w14:paraId="51E9F227" w14:textId="77777777" w:rsidR="00531EB9" w:rsidRPr="00E32D8F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</w:rPr>
      </w:pPr>
    </w:p>
    <w:p w14:paraId="16FBAB85" w14:textId="77777777" w:rsidR="00A36975" w:rsidRPr="00E32D8F" w:rsidRDefault="00A36975" w:rsidP="003F73DA">
      <w:pPr>
        <w:tabs>
          <w:tab w:val="left" w:pos="1455"/>
        </w:tabs>
        <w:jc w:val="center"/>
        <w:rPr>
          <w:b/>
          <w:color w:val="1F497D"/>
        </w:rPr>
      </w:pPr>
    </w:p>
    <w:p w14:paraId="4FEFCFA1" w14:textId="77777777" w:rsidR="00531EB9" w:rsidRPr="00E32D8F" w:rsidRDefault="00531EB9" w:rsidP="003F73DA">
      <w:pPr>
        <w:tabs>
          <w:tab w:val="left" w:pos="1455"/>
        </w:tabs>
        <w:jc w:val="center"/>
        <w:rPr>
          <w:b/>
          <w:color w:val="1F497D"/>
        </w:rPr>
      </w:pPr>
      <w:r w:rsidRPr="00E32D8F">
        <w:rPr>
          <w:b/>
          <w:color w:val="1F497D"/>
        </w:rPr>
        <w:t xml:space="preserve">Nemocnice Na Homolce, Roentgenova 2, </w:t>
      </w:r>
      <w:r w:rsidR="003049B2" w:rsidRPr="00E32D8F">
        <w:rPr>
          <w:b/>
          <w:color w:val="1F497D"/>
        </w:rPr>
        <w:t xml:space="preserve">150 30 </w:t>
      </w:r>
      <w:r w:rsidRPr="00E32D8F">
        <w:rPr>
          <w:b/>
          <w:color w:val="1F497D"/>
        </w:rPr>
        <w:t>Praha 5</w:t>
      </w:r>
    </w:p>
    <w:p w14:paraId="3DFD23D0" w14:textId="77777777" w:rsidR="00531EB9" w:rsidRPr="00E32D8F" w:rsidRDefault="00531EB9" w:rsidP="003F73DA">
      <w:pPr>
        <w:jc w:val="center"/>
        <w:rPr>
          <w:b/>
          <w:color w:val="1F497D"/>
          <w:sz w:val="32"/>
        </w:rPr>
      </w:pPr>
      <w:r w:rsidRPr="00E32D8F">
        <w:rPr>
          <w:color w:val="1F497D"/>
        </w:rPr>
        <w:t>http://www.homolka.cz</w:t>
      </w:r>
    </w:p>
    <w:p w14:paraId="3353B19D" w14:textId="77777777" w:rsidR="00531EB9" w:rsidRPr="00E32D8F" w:rsidRDefault="00531EB9" w:rsidP="003F73DA">
      <w:pPr>
        <w:jc w:val="center"/>
        <w:rPr>
          <w:color w:val="1F497D"/>
        </w:rPr>
      </w:pPr>
    </w:p>
    <w:p w14:paraId="2CD19FB7" w14:textId="77777777" w:rsidR="00531EB9" w:rsidRPr="00E32D8F" w:rsidRDefault="00531EB9" w:rsidP="003F73DA">
      <w:pPr>
        <w:jc w:val="center"/>
        <w:rPr>
          <w:color w:val="1F497D"/>
        </w:rPr>
      </w:pPr>
    </w:p>
    <w:p w14:paraId="00E8F47E" w14:textId="77777777" w:rsidR="00D11C17" w:rsidRPr="00E36DAA" w:rsidRDefault="00D11C17" w:rsidP="00D152A1">
      <w:pPr>
        <w:jc w:val="both"/>
        <w:rPr>
          <w:b/>
          <w:color w:val="2F5496"/>
          <w:sz w:val="40"/>
          <w:szCs w:val="40"/>
        </w:rPr>
      </w:pPr>
    </w:p>
    <w:p w14:paraId="03F8446B" w14:textId="77777777" w:rsidR="00942D89" w:rsidRDefault="00942D89" w:rsidP="00942D89">
      <w:pPr>
        <w:jc w:val="center"/>
        <w:rPr>
          <w:rFonts w:cs="Calibri"/>
          <w:sz w:val="24"/>
          <w:szCs w:val="24"/>
        </w:rPr>
      </w:pPr>
    </w:p>
    <w:p w14:paraId="66656AA7" w14:textId="77777777" w:rsidR="00942D89" w:rsidRPr="00E55E9D" w:rsidRDefault="00E55E9D" w:rsidP="00942D89">
      <w:pPr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bookmarkStart w:id="0" w:name="_GoBack"/>
      <w:r w:rsidRPr="00E55E9D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Kardiologický den Petra N</w:t>
      </w:r>
      <w:r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ie</w:t>
      </w:r>
      <w:r w:rsidRPr="00E55E9D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derleho: 15. ročník konference propojí špičky v oboru kardiologie s cílem zpřístupnit moderní léčbu pacientům</w:t>
      </w:r>
    </w:p>
    <w:p w14:paraId="5BB96D54" w14:textId="77777777" w:rsidR="00942D89" w:rsidRPr="00E55E9D" w:rsidRDefault="00942D89" w:rsidP="00942D89">
      <w:pPr>
        <w:jc w:val="both"/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</w:pPr>
    </w:p>
    <w:p w14:paraId="73A4163D" w14:textId="77777777" w:rsidR="00E55E9D" w:rsidRPr="00E55E9D" w:rsidRDefault="00E55E9D" w:rsidP="00E55E9D">
      <w:pPr>
        <w:spacing w:before="100" w:beforeAutospacing="1" w:after="100" w:afterAutospacing="1"/>
        <w:rPr>
          <w:rFonts w:asciiTheme="minorHAnsi" w:hAnsiTheme="minorHAnsi" w:cstheme="minorHAnsi"/>
          <w:b/>
          <w:i/>
          <w:color w:val="1F4E79" w:themeColor="accent1" w:themeShade="80"/>
          <w:sz w:val="24"/>
          <w:szCs w:val="24"/>
        </w:rPr>
      </w:pPr>
      <w:r w:rsidRPr="00E55E9D">
        <w:rPr>
          <w:rFonts w:asciiTheme="minorHAnsi" w:hAnsiTheme="minorHAnsi" w:cstheme="minorHAnsi"/>
          <w:b/>
          <w:bCs/>
          <w:i/>
          <w:color w:val="1F4E79" w:themeColor="accent1" w:themeShade="80"/>
          <w:sz w:val="24"/>
          <w:szCs w:val="24"/>
        </w:rPr>
        <w:t>V pátek 11. října 2024 se v Clarion Congress Hotel v Praze uskuteční již 15. ročník konference věnované aktuálním problémům v kardiologii.</w:t>
      </w:r>
      <w:r w:rsidRPr="00E55E9D">
        <w:rPr>
          <w:rFonts w:asciiTheme="minorHAnsi" w:hAnsiTheme="minorHAnsi" w:cstheme="minorHAnsi"/>
          <w:b/>
          <w:i/>
          <w:color w:val="1F4E79" w:themeColor="accent1" w:themeShade="80"/>
          <w:sz w:val="24"/>
          <w:szCs w:val="24"/>
        </w:rPr>
        <w:t xml:space="preserve"> Tato konference je ojedinělá tím, že se na ní setkávají zástupci všech segmentů podílejících se na kardiologické péči: ambulantní specialisté, lékaři z kardiocenter, zástupci Všeobecné zdravotní pojišťovny (VZP) a Státního ústavu pro kontrolu léčiv (SÚKL).</w:t>
      </w:r>
    </w:p>
    <w:p w14:paraId="78F6237C" w14:textId="77777777" w:rsidR="00E55E9D" w:rsidRPr="00E55E9D" w:rsidRDefault="00E55E9D" w:rsidP="00E55E9D">
      <w:pPr>
        <w:pStyle w:val="Normlnweb"/>
        <w:spacing w:before="0" w:beforeAutospacing="0" w:after="225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E55E9D">
        <w:rPr>
          <w:rFonts w:asciiTheme="minorHAnsi" w:hAnsiTheme="minorHAnsi" w:cstheme="minorHAnsi"/>
          <w:color w:val="1F4E79" w:themeColor="accent1" w:themeShade="80"/>
        </w:rPr>
        <w:t xml:space="preserve">Iniciátorem odborné akce a jedním z pořadatelů je Kardiocentrum Nemocnice Na Homolce (NNH). Garanty odborného programu jsou primář oddělení, prof. MUDr. Petr Neužil, CSc., FESC a MUDr. Zorjan Jojko, předseda Sdružení ambulantních specialistů.  </w:t>
      </w:r>
    </w:p>
    <w:p w14:paraId="15BC39AB" w14:textId="77777777" w:rsidR="00E55E9D" w:rsidRPr="00E55E9D" w:rsidRDefault="00E55E9D" w:rsidP="00E55E9D">
      <w:pPr>
        <w:spacing w:before="100" w:beforeAutospacing="1" w:after="100" w:afterAutospacing="1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E55E9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Kardiologie je dynamický obor, který se prudce rozvíjí v oblasti léčebných metod, technologií a farmakoterapie. Společným úkolem všech aktérů zdravotnického systému je zpřístupnit moderní a inovativní léčbu co nejširšímu okruhu pacientů.</w:t>
      </w:r>
    </w:p>
    <w:p w14:paraId="70FD2511" w14:textId="77777777" w:rsidR="00E55E9D" w:rsidRPr="00E55E9D" w:rsidRDefault="00E55E9D" w:rsidP="00E55E9D">
      <w:pPr>
        <w:pStyle w:val="Normlnweb"/>
        <w:spacing w:before="0" w:beforeAutospacing="0" w:after="225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E55E9D">
        <w:rPr>
          <w:rFonts w:asciiTheme="minorHAnsi" w:hAnsiTheme="minorHAnsi" w:cstheme="minorHAnsi"/>
          <w:color w:val="1F4E79" w:themeColor="accent1" w:themeShade="80"/>
        </w:rPr>
        <w:t xml:space="preserve">Nárůst kardiovaskulárních onemocnění akcentuje primární i sekundární prevenci. Ústředním tématem je ale také včasná diagnostika a optimálně zvolená léčba kardiálních vad, jejímž předpokladem je úzká spolupráce ambulantních kardiologů, intervenčních kardiologů a kardiochirurgů. Koncepce moderní léčby spočívá v cílené a individualizované léčbě s ohledem na věk, kvalitu života pacienta a jeho celkový zdravotní stav, čemuž odpovídá i technologický vývoj.  </w:t>
      </w:r>
    </w:p>
    <w:p w14:paraId="3A83F61C" w14:textId="7DA30165" w:rsidR="00E55E9D" w:rsidRPr="00E55E9D" w:rsidRDefault="00E55E9D" w:rsidP="00E55E9D">
      <w:pPr>
        <w:spacing w:before="100" w:beforeAutospacing="1" w:after="100" w:afterAutospacing="1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E55E9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Letošní témata se věnují například kazuistikám atypických srdečních onemocnění, leadless kardiostimulacím či léčbě chlopenních vad. Program připomene také 20. výročí od implantace okludéru ouška levé síně v České republice, která byla jako první provedena v </w:t>
      </w:r>
      <w:r w:rsidRPr="00E55E9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lastRenderedPageBreak/>
        <w:t>Nemocnici Na Homolce. Tento intervenční zákrok je určen zejména pacientům se zvýšeným rizikem cévní mozkové příhody. Na konferenci zazní i nové poznatky z ambulantní kardiologie, koncepce úhrad kardiologických léků a další témata zaměřená na komplexní léčbu kardi</w:t>
      </w:r>
      <w:r w:rsidR="00647008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álních </w:t>
      </w:r>
      <w:r w:rsidRPr="00E55E9D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onemocnění.</w:t>
      </w:r>
    </w:p>
    <w:p w14:paraId="7385709A" w14:textId="77777777" w:rsidR="00E55E9D" w:rsidRPr="00E55E9D" w:rsidRDefault="00E55E9D" w:rsidP="00E55E9D">
      <w:pPr>
        <w:pStyle w:val="Normlnweb"/>
        <w:spacing w:before="0" w:beforeAutospacing="0" w:after="225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  <w:r>
        <w:rPr>
          <w:rFonts w:asciiTheme="minorHAnsi" w:hAnsiTheme="minorHAnsi" w:cstheme="minorHAnsi"/>
          <w:color w:val="1F4E79" w:themeColor="accent1" w:themeShade="80"/>
        </w:rPr>
        <w:t>Během kongresu bude pokřtěna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 další ze série popularizačních kardiologických publikací – </w:t>
      </w:r>
      <w:r w:rsidRPr="00E55E9D">
        <w:rPr>
          <w:rFonts w:asciiTheme="minorHAnsi" w:hAnsiTheme="minorHAnsi" w:cstheme="minorHAnsi"/>
          <w:i/>
          <w:color w:val="1F4E79" w:themeColor="accent1" w:themeShade="80"/>
        </w:rPr>
        <w:t>Nové technologie v kardiologii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, jejímiž hlavními editory jsou prof. Petr Neužil, MUDr. Jan Naar, Ph.D., kterou napsali spolu s dalšími lékaři. </w:t>
      </w:r>
    </w:p>
    <w:p w14:paraId="613DBB61" w14:textId="77777777" w:rsidR="00E55E9D" w:rsidRPr="00E55E9D" w:rsidRDefault="00E55E9D" w:rsidP="00E55E9D">
      <w:pPr>
        <w:pStyle w:val="Normlnweb"/>
        <w:spacing w:before="0" w:beforeAutospacing="0" w:after="225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E55E9D">
        <w:rPr>
          <w:rFonts w:asciiTheme="minorHAnsi" w:hAnsiTheme="minorHAnsi" w:cstheme="minorHAnsi"/>
          <w:color w:val="1F4E79" w:themeColor="accent1" w:themeShade="80"/>
        </w:rPr>
        <w:t xml:space="preserve">Obnovenou novinkou letošního ročníku je paralelní pacientská sekce, jejímž hlavním garantem je po pěti letech Unie pacientů ČR. Program </w:t>
      </w:r>
      <w:r>
        <w:rPr>
          <w:rFonts w:asciiTheme="minorHAnsi" w:hAnsiTheme="minorHAnsi" w:cstheme="minorHAnsi"/>
          <w:color w:val="1F4E79" w:themeColor="accent1" w:themeShade="80"/>
        </w:rPr>
        <w:t xml:space="preserve">pacientské sekce 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se bude věnovat bezdrátové kardiostimulaci, intervenčním zákrokům na chlopních, léčbě hypolipidemie </w:t>
      </w:r>
      <w:r>
        <w:rPr>
          <w:rFonts w:asciiTheme="minorHAnsi" w:hAnsiTheme="minorHAnsi" w:cstheme="minorHAnsi"/>
          <w:color w:val="1F4E79" w:themeColor="accent1" w:themeShade="80"/>
        </w:rPr>
        <w:t>a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 prevenci obezity a kouření.  </w:t>
      </w:r>
    </w:p>
    <w:p w14:paraId="184A66C3" w14:textId="77777777" w:rsidR="00E55E9D" w:rsidRPr="00E55E9D" w:rsidRDefault="00E55E9D" w:rsidP="00E55E9D">
      <w:pPr>
        <w:pStyle w:val="Normlnweb"/>
        <w:spacing w:before="0" w:beforeAutospacing="0" w:after="225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  <w:r w:rsidRPr="00E55E9D">
        <w:rPr>
          <w:rFonts w:asciiTheme="minorHAnsi" w:hAnsiTheme="minorHAnsi" w:cstheme="minorHAnsi"/>
          <w:color w:val="1F4E79" w:themeColor="accent1" w:themeShade="80"/>
        </w:rPr>
        <w:t>Kardiologický den Petra Neiderleho pravidelně navštěvují desítky specialistů. Ko</w:t>
      </w:r>
      <w:r>
        <w:rPr>
          <w:rFonts w:asciiTheme="minorHAnsi" w:hAnsiTheme="minorHAnsi" w:cstheme="minorHAnsi"/>
          <w:color w:val="1F4E79" w:themeColor="accent1" w:themeShade="80"/>
        </w:rPr>
        <w:t>nference se ko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ná se na </w:t>
      </w:r>
      <w:r>
        <w:rPr>
          <w:rFonts w:asciiTheme="minorHAnsi" w:hAnsiTheme="minorHAnsi" w:cstheme="minorHAnsi"/>
          <w:color w:val="1F4E79" w:themeColor="accent1" w:themeShade="80"/>
        </w:rPr>
        <w:t>počest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 předního českého kardiologa prof. </w:t>
      </w:r>
      <w:r>
        <w:rPr>
          <w:rFonts w:asciiTheme="minorHAnsi" w:hAnsiTheme="minorHAnsi" w:cstheme="minorHAnsi"/>
          <w:color w:val="1F4E79" w:themeColor="accent1" w:themeShade="80"/>
        </w:rPr>
        <w:t xml:space="preserve">Petra </w:t>
      </w:r>
      <w:r w:rsidRPr="00E55E9D">
        <w:rPr>
          <w:rFonts w:asciiTheme="minorHAnsi" w:hAnsiTheme="minorHAnsi" w:cstheme="minorHAnsi"/>
          <w:color w:val="1F4E79" w:themeColor="accent1" w:themeShade="80"/>
        </w:rPr>
        <w:t>Niederleho, průkopník</w:t>
      </w:r>
      <w:r>
        <w:rPr>
          <w:rFonts w:asciiTheme="minorHAnsi" w:hAnsiTheme="minorHAnsi" w:cstheme="minorHAnsi"/>
          <w:color w:val="1F4E79" w:themeColor="accent1" w:themeShade="80"/>
        </w:rPr>
        <w:t>a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 české echokardiografie a dlouholet</w:t>
      </w:r>
      <w:r>
        <w:rPr>
          <w:rFonts w:asciiTheme="minorHAnsi" w:hAnsiTheme="minorHAnsi" w:cstheme="minorHAnsi"/>
          <w:color w:val="1F4E79" w:themeColor="accent1" w:themeShade="80"/>
        </w:rPr>
        <w:t>ého</w:t>
      </w:r>
      <w:r w:rsidRPr="00E55E9D">
        <w:rPr>
          <w:rFonts w:asciiTheme="minorHAnsi" w:hAnsiTheme="minorHAnsi" w:cstheme="minorHAnsi"/>
          <w:color w:val="1F4E79" w:themeColor="accent1" w:themeShade="80"/>
        </w:rPr>
        <w:t xml:space="preserve"> primáře kardiologického oddělení Nemocnice Na Homolce. </w:t>
      </w:r>
    </w:p>
    <w:p w14:paraId="7954F73E" w14:textId="77777777" w:rsidR="00E55E9D" w:rsidRPr="00E55E9D" w:rsidRDefault="00E55E9D" w:rsidP="00E55E9D">
      <w:pPr>
        <w:pStyle w:val="Normlnweb"/>
        <w:spacing w:before="0" w:beforeAutospacing="0" w:after="225" w:afterAutospacing="0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4B9DEC66" w14:textId="77777777" w:rsidR="0066789F" w:rsidRPr="00594ED1" w:rsidRDefault="0066789F" w:rsidP="0066789F">
      <w:pPr>
        <w:jc w:val="both"/>
        <w:rPr>
          <w:rFonts w:ascii="Calibri" w:hAnsi="Calibri" w:cs="Calibri"/>
          <w:b/>
          <w:bCs/>
          <w:color w:val="1F497D"/>
        </w:rPr>
      </w:pPr>
      <w:r w:rsidRPr="00594ED1">
        <w:rPr>
          <w:rFonts w:ascii="Calibri" w:hAnsi="Calibri" w:cs="Calibri"/>
          <w:b/>
          <w:bCs/>
          <w:color w:val="1F497D"/>
        </w:rPr>
        <w:t>Kontakt na tiskovou mluvčí Nemocnice Na Homolce:</w:t>
      </w:r>
    </w:p>
    <w:p w14:paraId="0482EE08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Mgr. Martina Dostálová</w:t>
      </w:r>
    </w:p>
    <w:p w14:paraId="2DF26EBE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tel.: +420 257 273 056</w:t>
      </w:r>
    </w:p>
    <w:p w14:paraId="488F2D97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mobil: +420 724 083 906</w:t>
      </w:r>
    </w:p>
    <w:p w14:paraId="37D4C708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 xml:space="preserve">e-mail: </w:t>
      </w:r>
      <w:hyperlink r:id="rId10" w:history="1">
        <w:r w:rsidRPr="00594ED1">
          <w:rPr>
            <w:rStyle w:val="Hypertextovodkaz"/>
            <w:rFonts w:ascii="Calibri" w:eastAsia="SimSun" w:hAnsi="Calibri" w:cs="Calibri"/>
          </w:rPr>
          <w:t>martina.dostalova@homolka.cz</w:t>
        </w:r>
      </w:hyperlink>
    </w:p>
    <w:bookmarkEnd w:id="0"/>
    <w:p w14:paraId="78E45B30" w14:textId="77777777" w:rsidR="00757B01" w:rsidRDefault="00757B01" w:rsidP="00FF3D80">
      <w:pPr>
        <w:contextualSpacing/>
        <w:jc w:val="both"/>
        <w:rPr>
          <w:color w:val="2F5496"/>
          <w:sz w:val="18"/>
          <w:szCs w:val="18"/>
        </w:rPr>
      </w:pPr>
    </w:p>
    <w:sectPr w:rsidR="0075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3A191" w14:textId="77777777" w:rsidR="00DF776F" w:rsidRDefault="00DF776F" w:rsidP="00AF11A7">
      <w:r>
        <w:separator/>
      </w:r>
    </w:p>
  </w:endnote>
  <w:endnote w:type="continuationSeparator" w:id="0">
    <w:p w14:paraId="03F391DD" w14:textId="77777777" w:rsidR="00DF776F" w:rsidRDefault="00DF776F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E492" w14:textId="77777777" w:rsidR="00DF776F" w:rsidRDefault="00DF776F" w:rsidP="00AF11A7">
      <w:r>
        <w:separator/>
      </w:r>
    </w:p>
  </w:footnote>
  <w:footnote w:type="continuationSeparator" w:id="0">
    <w:p w14:paraId="123E0EB1" w14:textId="77777777" w:rsidR="00DF776F" w:rsidRDefault="00DF776F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8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5"/>
  </w:num>
  <w:num w:numId="12">
    <w:abstractNumId w:val="7"/>
  </w:num>
  <w:num w:numId="13">
    <w:abstractNumId w:val="18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FB7"/>
    <w:rsid w:val="000331DF"/>
    <w:rsid w:val="00034CAD"/>
    <w:rsid w:val="00042AA3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4D38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19F8"/>
    <w:rsid w:val="00112211"/>
    <w:rsid w:val="00115073"/>
    <w:rsid w:val="001156DA"/>
    <w:rsid w:val="00116FB0"/>
    <w:rsid w:val="00121D12"/>
    <w:rsid w:val="00125DD1"/>
    <w:rsid w:val="00126AC4"/>
    <w:rsid w:val="00130985"/>
    <w:rsid w:val="00131B0C"/>
    <w:rsid w:val="00136416"/>
    <w:rsid w:val="0014086F"/>
    <w:rsid w:val="001408C7"/>
    <w:rsid w:val="00144D5E"/>
    <w:rsid w:val="00152F03"/>
    <w:rsid w:val="0015308E"/>
    <w:rsid w:val="001573CB"/>
    <w:rsid w:val="0016058E"/>
    <w:rsid w:val="00163B8F"/>
    <w:rsid w:val="00164E81"/>
    <w:rsid w:val="00165D0E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B400D"/>
    <w:rsid w:val="001C0F2F"/>
    <w:rsid w:val="001C0FD5"/>
    <w:rsid w:val="001C7ACA"/>
    <w:rsid w:val="001D034E"/>
    <w:rsid w:val="001D1536"/>
    <w:rsid w:val="001D163E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7636"/>
    <w:rsid w:val="00277816"/>
    <w:rsid w:val="00286992"/>
    <w:rsid w:val="00287193"/>
    <w:rsid w:val="00293020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727B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7277E"/>
    <w:rsid w:val="00480A35"/>
    <w:rsid w:val="004825A5"/>
    <w:rsid w:val="004914D7"/>
    <w:rsid w:val="00492348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4ED1"/>
    <w:rsid w:val="00595DA7"/>
    <w:rsid w:val="0059767D"/>
    <w:rsid w:val="00597D20"/>
    <w:rsid w:val="005A0E47"/>
    <w:rsid w:val="005A34A4"/>
    <w:rsid w:val="005A4E94"/>
    <w:rsid w:val="005A6144"/>
    <w:rsid w:val="005A75CF"/>
    <w:rsid w:val="005B1A6E"/>
    <w:rsid w:val="005B4985"/>
    <w:rsid w:val="005C140C"/>
    <w:rsid w:val="005C2C37"/>
    <w:rsid w:val="005C2C63"/>
    <w:rsid w:val="005C5042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11AB"/>
    <w:rsid w:val="005F5A52"/>
    <w:rsid w:val="00600221"/>
    <w:rsid w:val="006050A5"/>
    <w:rsid w:val="006050EC"/>
    <w:rsid w:val="0060600C"/>
    <w:rsid w:val="00612447"/>
    <w:rsid w:val="0061272A"/>
    <w:rsid w:val="006142A5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008"/>
    <w:rsid w:val="00647B0D"/>
    <w:rsid w:val="00652461"/>
    <w:rsid w:val="006542DD"/>
    <w:rsid w:val="00656AD1"/>
    <w:rsid w:val="00656AF8"/>
    <w:rsid w:val="00662046"/>
    <w:rsid w:val="00662A34"/>
    <w:rsid w:val="00663CDB"/>
    <w:rsid w:val="00664FF0"/>
    <w:rsid w:val="00665082"/>
    <w:rsid w:val="00666A31"/>
    <w:rsid w:val="0066789F"/>
    <w:rsid w:val="006729FD"/>
    <w:rsid w:val="00673456"/>
    <w:rsid w:val="006762DB"/>
    <w:rsid w:val="0067720B"/>
    <w:rsid w:val="00677C74"/>
    <w:rsid w:val="00680288"/>
    <w:rsid w:val="006809B6"/>
    <w:rsid w:val="00680F54"/>
    <w:rsid w:val="00682568"/>
    <w:rsid w:val="006833DE"/>
    <w:rsid w:val="006845D5"/>
    <w:rsid w:val="006876C1"/>
    <w:rsid w:val="00691B74"/>
    <w:rsid w:val="0069274E"/>
    <w:rsid w:val="00693233"/>
    <w:rsid w:val="00695603"/>
    <w:rsid w:val="006A068F"/>
    <w:rsid w:val="006A207D"/>
    <w:rsid w:val="006A3563"/>
    <w:rsid w:val="006A3981"/>
    <w:rsid w:val="006A5B66"/>
    <w:rsid w:val="006B1B35"/>
    <w:rsid w:val="006B3FEA"/>
    <w:rsid w:val="006C14F4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2ED3"/>
    <w:rsid w:val="00735514"/>
    <w:rsid w:val="007359AD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CE3"/>
    <w:rsid w:val="0077010A"/>
    <w:rsid w:val="00770135"/>
    <w:rsid w:val="007812F9"/>
    <w:rsid w:val="00783B50"/>
    <w:rsid w:val="00784163"/>
    <w:rsid w:val="00784D56"/>
    <w:rsid w:val="007871C8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2244"/>
    <w:rsid w:val="00804984"/>
    <w:rsid w:val="00807EFD"/>
    <w:rsid w:val="00813DC9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60EB"/>
    <w:rsid w:val="00847380"/>
    <w:rsid w:val="00847D4D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F7E"/>
    <w:rsid w:val="008A5716"/>
    <w:rsid w:val="008A5872"/>
    <w:rsid w:val="008A59E7"/>
    <w:rsid w:val="008A6222"/>
    <w:rsid w:val="008A64FF"/>
    <w:rsid w:val="008A6A8B"/>
    <w:rsid w:val="008B09E2"/>
    <w:rsid w:val="008C1787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10C8A"/>
    <w:rsid w:val="00912F0B"/>
    <w:rsid w:val="00912FDA"/>
    <w:rsid w:val="00915CFC"/>
    <w:rsid w:val="009213FC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2D89"/>
    <w:rsid w:val="00944FC8"/>
    <w:rsid w:val="0095237B"/>
    <w:rsid w:val="0095285F"/>
    <w:rsid w:val="00953117"/>
    <w:rsid w:val="00954A30"/>
    <w:rsid w:val="00955C27"/>
    <w:rsid w:val="00955EF8"/>
    <w:rsid w:val="00967A96"/>
    <w:rsid w:val="00974734"/>
    <w:rsid w:val="00975E48"/>
    <w:rsid w:val="00980940"/>
    <w:rsid w:val="00981975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A00A78"/>
    <w:rsid w:val="00A05548"/>
    <w:rsid w:val="00A117D8"/>
    <w:rsid w:val="00A12D73"/>
    <w:rsid w:val="00A16BC7"/>
    <w:rsid w:val="00A177C0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B77"/>
    <w:rsid w:val="00A53F6B"/>
    <w:rsid w:val="00A541F5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634E"/>
    <w:rsid w:val="00B07BFF"/>
    <w:rsid w:val="00B1600F"/>
    <w:rsid w:val="00B23B4B"/>
    <w:rsid w:val="00B257AC"/>
    <w:rsid w:val="00B260AC"/>
    <w:rsid w:val="00B35747"/>
    <w:rsid w:val="00B36FCD"/>
    <w:rsid w:val="00B3795A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7943"/>
    <w:rsid w:val="00BE7440"/>
    <w:rsid w:val="00BF29AB"/>
    <w:rsid w:val="00BF2E7B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45B26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54DD"/>
    <w:rsid w:val="00CA68F7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2149"/>
    <w:rsid w:val="00DB433C"/>
    <w:rsid w:val="00DB5E21"/>
    <w:rsid w:val="00DD1AB8"/>
    <w:rsid w:val="00DD30AF"/>
    <w:rsid w:val="00DD43C1"/>
    <w:rsid w:val="00DE5F96"/>
    <w:rsid w:val="00DF5678"/>
    <w:rsid w:val="00DF776F"/>
    <w:rsid w:val="00E028DC"/>
    <w:rsid w:val="00E03079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6DAA"/>
    <w:rsid w:val="00E3729A"/>
    <w:rsid w:val="00E415A1"/>
    <w:rsid w:val="00E41EA7"/>
    <w:rsid w:val="00E4495B"/>
    <w:rsid w:val="00E46936"/>
    <w:rsid w:val="00E52807"/>
    <w:rsid w:val="00E558BA"/>
    <w:rsid w:val="00E55E9D"/>
    <w:rsid w:val="00E567B5"/>
    <w:rsid w:val="00E63843"/>
    <w:rsid w:val="00E64EFB"/>
    <w:rsid w:val="00E709DC"/>
    <w:rsid w:val="00E714E1"/>
    <w:rsid w:val="00E728E4"/>
    <w:rsid w:val="00E75A47"/>
    <w:rsid w:val="00E75A7F"/>
    <w:rsid w:val="00E77C53"/>
    <w:rsid w:val="00E82549"/>
    <w:rsid w:val="00E8763A"/>
    <w:rsid w:val="00E900D9"/>
    <w:rsid w:val="00E920F8"/>
    <w:rsid w:val="00E931C2"/>
    <w:rsid w:val="00EA0436"/>
    <w:rsid w:val="00EA0E50"/>
    <w:rsid w:val="00EA1353"/>
    <w:rsid w:val="00EA4667"/>
    <w:rsid w:val="00EA48D8"/>
    <w:rsid w:val="00EA65B7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5F4D"/>
    <w:rsid w:val="00F8289E"/>
    <w:rsid w:val="00F841CA"/>
    <w:rsid w:val="00F84A1A"/>
    <w:rsid w:val="00F852C3"/>
    <w:rsid w:val="00F90F27"/>
    <w:rsid w:val="00F92BFA"/>
    <w:rsid w:val="00F97EA1"/>
    <w:rsid w:val="00F97F97"/>
    <w:rsid w:val="00FA706F"/>
    <w:rsid w:val="00FB33FF"/>
    <w:rsid w:val="00FB449D"/>
    <w:rsid w:val="00FB4C3B"/>
    <w:rsid w:val="00FB5280"/>
    <w:rsid w:val="00FB5565"/>
    <w:rsid w:val="00FB7388"/>
    <w:rsid w:val="00FC0125"/>
    <w:rsid w:val="00FC259E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23F"/>
    <w:rsid w:val="00FE3B77"/>
    <w:rsid w:val="00FF019A"/>
    <w:rsid w:val="00FF04EC"/>
    <w:rsid w:val="00FF3B81"/>
    <w:rsid w:val="00FF3D8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E0A"/>
  <w15:chartTrackingRefBased/>
  <w15:docId w15:val="{35EBB92E-5832-4061-86FE-168C1D8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  <w:style w:type="character" w:styleId="Siln">
    <w:name w:val="Strong"/>
    <w:basedOn w:val="Standardnpsmoodstavce"/>
    <w:uiPriority w:val="22"/>
    <w:qFormat/>
    <w:rsid w:val="00E55E9D"/>
    <w:rPr>
      <w:b/>
      <w:bCs/>
    </w:rPr>
  </w:style>
  <w:style w:type="character" w:styleId="Zdraznn">
    <w:name w:val="Emphasis"/>
    <w:basedOn w:val="Standardnpsmoodstavce"/>
    <w:uiPriority w:val="20"/>
    <w:qFormat/>
    <w:rsid w:val="00E55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0883-2D66-4003-B8DF-18372C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3116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Šikl Petr</cp:lastModifiedBy>
  <cp:revision>2</cp:revision>
  <cp:lastPrinted>2018-09-25T07:47:00Z</cp:lastPrinted>
  <dcterms:created xsi:type="dcterms:W3CDTF">2024-10-14T11:13:00Z</dcterms:created>
  <dcterms:modified xsi:type="dcterms:W3CDTF">2024-10-14T11:13:00Z</dcterms:modified>
</cp:coreProperties>
</file>